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BF00B8" w:rsidRDefault="00BF00B8" w:rsidP="00327FB6">
      <w:pPr>
        <w:jc w:val="center"/>
        <w:rPr>
          <w:sz w:val="28"/>
          <w:szCs w:val="28"/>
        </w:rPr>
        <w:sectPr w:rsidR="00D825F7" w:rsidRPr="00BF00B8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5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12AE4" w:rsidRPr="00312AE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Математика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 w:rsidRPr="00BF00B8">
        <w:rPr>
          <w:rFonts w:ascii="Arial" w:hAnsi="Arial" w:cs="Arial"/>
          <w:noProof/>
          <w:color w:val="281774"/>
          <w:sz w:val="36"/>
          <w:szCs w:val="36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F00B8" w:rsidRDefault="00D825F7" w:rsidP="00082455">
      <w:pPr>
        <w:jc w:val="center"/>
        <w:rPr>
          <w:b/>
          <w:bCs/>
          <w:sz w:val="28"/>
          <w:szCs w:val="28"/>
        </w:rPr>
        <w:sectPr w:rsidR="00D825F7" w:rsidRPr="00BF00B8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BF00B8" w:rsidRDefault="00D825F7" w:rsidP="00082455">
      <w:pPr>
        <w:jc w:val="center"/>
        <w:rPr>
          <w:b/>
          <w:bCs/>
          <w:sz w:val="28"/>
          <w:szCs w:val="28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Математика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312AE4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Математика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Математика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Математика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Математика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Степени и корни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 xml:space="preserve">понятие корня </w:t>
            </w:r>
            <w:r>
              <w:rPr>
                <w:lang w:val="en-US"/>
              </w:rPr>
              <w:t>n</w:t>
            </w:r>
            <w:r w:rsidRPr="00BF00B8">
              <w:t>-ой степени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выполнять тождественные преобразования с корнями и находить их значение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Тождественные преобразования алгебраических выражений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правила выполнения тождественных преобразований рациональных выражений, разложение квадратного трехчлена на линейные множители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раскладывать квадратный трехчлен на линейные множители, выполнять тождественные преобразования рациональных выражений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Преобразования тригонометрических выражений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формулы приведения, значения тригонометрических функций основных углов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выполнять простейшие преобразования тригонометрических выражений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Тождественные преобразования логарифмических выражений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понятие логарифма, свойства логарифмов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выполнять тождественные преобразования логарифмических выражений, применять свойства логарифмов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60" w:type="dxa"/>
          </w:tcPr>
          <w:p w:rsidR="00D825F7" w:rsidRPr="00BF00B8" w:rsidRDefault="005B55AC" w:rsidP="008C64E5">
            <w:r w:rsidRPr="00BF00B8">
              <w:rPr>
                <w:noProof/>
              </w:rPr>
              <w:t>Задачи из практической деятельности и повседневной жизни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способы представления данных, полученных из практических задач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Текстовая задача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методы решения текстовых задач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строить и исследовать простейшие математические модели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BF00B8" w:rsidRDefault="005B55AC" w:rsidP="008C64E5">
            <w:r w:rsidRPr="00BF00B8">
              <w:rPr>
                <w:noProof/>
              </w:rPr>
              <w:t>Уравнения с переменной под знаком модуля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методы решения уравнений с переменной под знаком модуля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простейшие уравнения с переменной под знаком модуля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Иррациональные уравнения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приемы решения иррациональных уравнений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иррациональные уравнения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Логарифмические уравнения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методы решения логарифмических уравнений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простейшие логарифмические уравнения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Тригонометрические уравнения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общие формулы решения простейших тригонометрических уравнений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простейшие тригонометрические уравнения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Системы линейных уравнений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 xml:space="preserve">методы решения систем линейных </w:t>
            </w:r>
            <w:r w:rsidRPr="00BF00B8">
              <w:lastRenderedPageBreak/>
              <w:t>уравнений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системы линейных уравнений с двумя неизвестными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Квадратные неравенства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приемы решения неравенств второй степени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неравенства второй степени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Показательные неравенства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способы решения показательных и логарифмических неравенств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решать показательные и логарифмические неравенства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Область определения функции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определения элементарных функций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находить области определения элементарных функций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Графики элементарных функций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графики элементарных функций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определять по графику соответствующую ему функцию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Производная функции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формулы и правила нахождения производных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находить производные элементарных функций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BF00B8" w:rsidRDefault="005B55AC" w:rsidP="008C64E5">
            <w:r w:rsidRPr="00BF00B8">
              <w:rPr>
                <w:noProof/>
              </w:rPr>
              <w:t>Наименьшее и наибольшее значения функции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методы нахождения наименьшего и наибольшего значений непрерывной функции, заданной на отрезке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находить наименьшее и наибольшее значения непрерывной функции, заданной на отрезке с помощью производной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Геометрический смысл определенного интеграла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геометрический смысл определенного интеграла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находить площадь криволинейной трапеции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60" w:type="dxa"/>
          </w:tcPr>
          <w:p w:rsidR="00D825F7" w:rsidRPr="00BF00B8" w:rsidRDefault="005B55AC" w:rsidP="008C64E5">
            <w:r w:rsidRPr="00BF00B8">
              <w:rPr>
                <w:noProof/>
              </w:rPr>
              <w:t>Элементы комбинаторики, статистики и теории вероятностей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классическое определение вероятности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находить вероятность события, используя определение вероятности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Решение прямоугольных треугольников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соотношения между сторонами и углами прямоугольного треугольника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находить элементы прямоугольного треугольника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960" w:type="dxa"/>
          </w:tcPr>
          <w:p w:rsidR="00D825F7" w:rsidRPr="00BF00B8" w:rsidRDefault="005B55AC" w:rsidP="008C64E5">
            <w:r w:rsidRPr="00BF00B8">
              <w:rPr>
                <w:noProof/>
              </w:rPr>
              <w:t>Применение геометрических знаний для решения практических задач</w:t>
            </w:r>
          </w:p>
        </w:tc>
        <w:tc>
          <w:tcPr>
            <w:tcW w:w="5220" w:type="dxa"/>
          </w:tcPr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знать: </w:t>
            </w:r>
            <w:r w:rsidRPr="00BF00B8">
              <w:t>формулы для нахождения поверхностей и объемов многогранников и круглых тел</w:t>
            </w:r>
          </w:p>
          <w:p w:rsidR="00D825F7" w:rsidRPr="00BF00B8" w:rsidRDefault="005B55AC" w:rsidP="00BE035E">
            <w:r w:rsidRPr="00BF00B8">
              <w:rPr>
                <w:b/>
                <w:bCs/>
                <w:i/>
                <w:iCs/>
              </w:rPr>
              <w:t xml:space="preserve">уметь: </w:t>
            </w:r>
            <w:r w:rsidRPr="00BF00B8">
              <w:t>применять геометрические знания для решения практических задач</w:t>
            </w:r>
          </w:p>
        </w:tc>
      </w:tr>
    </w:tbl>
    <w:p w:rsidR="00D825F7" w:rsidRPr="00BF00B8" w:rsidRDefault="00D825F7" w:rsidP="005E28C0">
      <w:pPr>
        <w:rPr>
          <w:sz w:val="4"/>
          <w:szCs w:val="4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Математика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0</w:t>
      </w:r>
      <w:r w:rsidRPr="00AA0F2C">
        <w:t xml:space="preserve">% до </w:t>
      </w:r>
      <w:r>
        <w:rPr>
          <w:noProof/>
        </w:rPr>
        <w:t>40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40</w:t>
      </w:r>
      <w:r w:rsidRPr="00AA0F2C">
        <w:t xml:space="preserve">% до </w:t>
      </w:r>
      <w:r>
        <w:rPr>
          <w:noProof/>
        </w:rPr>
        <w:t>60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BF00B8" w:rsidRDefault="00D825F7" w:rsidP="0037342B">
      <w:pPr>
        <w:ind w:firstLine="360"/>
        <w:jc w:val="both"/>
      </w:pPr>
      <w:r w:rsidRPr="00AA0F2C">
        <w:t>В</w:t>
      </w:r>
      <w:r w:rsidRPr="00BF00B8">
        <w:t xml:space="preserve"> </w:t>
      </w:r>
      <w:r w:rsidRPr="00AA0F2C">
        <w:t>тестировани</w:t>
      </w:r>
      <w:r>
        <w:t>и</w:t>
      </w:r>
      <w:r w:rsidRPr="00BF00B8">
        <w:t xml:space="preserve"> </w:t>
      </w:r>
      <w:r w:rsidRPr="00BF00B8">
        <w:rPr>
          <w:noProof/>
        </w:rPr>
        <w:t>участвовало направление подготовки</w:t>
      </w:r>
      <w:r w:rsidRPr="00BF00B8">
        <w:t xml:space="preserve"> </w:t>
      </w:r>
      <w:r w:rsidRPr="00BF00B8">
        <w:rPr>
          <w:noProof/>
        </w:rPr>
        <w:t>18.03.02 (241000.62) «Энерго- и ресурсосберегающие процессы в химической технологии, нефтехимии и биотехнологии»</w:t>
      </w:r>
      <w:r w:rsidRPr="00BF00B8">
        <w:t>.</w:t>
      </w:r>
    </w:p>
    <w:p w:rsidR="00D825F7" w:rsidRPr="00BF00B8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механический</w:t>
      </w:r>
      <w:r w:rsidRPr="00AA0F2C">
        <w:t xml:space="preserve"> (</w:t>
      </w:r>
      <w:r>
        <w:rPr>
          <w:noProof/>
        </w:rPr>
        <w:t>МФ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3958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3958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3958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BF00B8" w:rsidRDefault="00D825F7" w:rsidP="0037342B">
      <w:pPr>
        <w:ind w:firstLine="360"/>
        <w:jc w:val="both"/>
      </w:pPr>
      <w:r w:rsidRPr="00AA0F2C">
        <w:t>В</w:t>
      </w:r>
      <w:r w:rsidRPr="00BF00B8">
        <w:t xml:space="preserve"> </w:t>
      </w:r>
      <w:r w:rsidRPr="00AA0F2C">
        <w:t>тестировани</w:t>
      </w:r>
      <w:r>
        <w:t>и</w:t>
      </w:r>
      <w:r w:rsidRPr="00BF00B8">
        <w:t xml:space="preserve"> </w:t>
      </w:r>
      <w:r w:rsidRPr="00BF00B8">
        <w:rPr>
          <w:noProof/>
        </w:rPr>
        <w:t>участвовали следующие направления подготовки:</w:t>
      </w:r>
      <w:r w:rsidRPr="00BF00B8">
        <w:t xml:space="preserve"> </w:t>
      </w:r>
      <w:r w:rsidRPr="00BF00B8">
        <w:rPr>
          <w:noProof/>
        </w:rPr>
        <w:t>18.03.01 (240100.62) «Химическая технология», 19.03.02 (260100.62) «Продукты питания из растительного сырья»</w:t>
      </w:r>
      <w:r w:rsidRPr="00BF00B8">
        <w:t>.</w:t>
      </w:r>
    </w:p>
    <w:p w:rsidR="00D825F7" w:rsidRPr="00BF00B8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7078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7078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7078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7078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BF00B8" w:rsidRDefault="00D825F7" w:rsidP="0037342B">
      <w:pPr>
        <w:ind w:firstLine="360"/>
        <w:jc w:val="both"/>
      </w:pPr>
      <w:r w:rsidRPr="00AA0F2C">
        <w:t>В</w:t>
      </w:r>
      <w:r w:rsidRPr="00BF00B8">
        <w:t xml:space="preserve"> </w:t>
      </w:r>
      <w:r w:rsidRPr="00AA0F2C">
        <w:t>тестировани</w:t>
      </w:r>
      <w:r>
        <w:t>и</w:t>
      </w:r>
      <w:r w:rsidRPr="00BF00B8">
        <w:t xml:space="preserve"> </w:t>
      </w:r>
      <w:r w:rsidRPr="00BF00B8">
        <w:rPr>
          <w:noProof/>
        </w:rPr>
        <w:t>участвовали следующие направления подготовки:</w:t>
      </w:r>
      <w:r w:rsidRPr="00BF00B8">
        <w:t xml:space="preserve"> </w:t>
      </w:r>
      <w:r w:rsidRPr="00BF00B8">
        <w:rPr>
          <w:noProof/>
        </w:rPr>
        <w:t>09.03.01 (230100.62) «Информатика и вычислительная техника», 13.03.02 (140400.62) «Электроэнергетика и электротехника», 27.03.04 (220400.62) «Управление в технических системах»</w:t>
      </w:r>
      <w:r w:rsidRPr="00BF00B8">
        <w:t>.</w:t>
      </w:r>
    </w:p>
    <w:p w:rsidR="00D825F7" w:rsidRPr="00BF00B8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управления и автоматизации</w:t>
      </w:r>
      <w:r w:rsidRPr="00AA0F2C">
        <w:t xml:space="preserve"> (</w:t>
      </w:r>
      <w:r>
        <w:rPr>
          <w:noProof/>
        </w:rPr>
        <w:t>ФУА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4638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4638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4638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4638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BF00B8" w:rsidRDefault="00D825F7" w:rsidP="0037342B">
      <w:pPr>
        <w:ind w:firstLine="360"/>
        <w:jc w:val="both"/>
      </w:pPr>
      <w:r w:rsidRPr="00AA0F2C">
        <w:t>В</w:t>
      </w:r>
      <w:r w:rsidRPr="00BF00B8">
        <w:t xml:space="preserve"> </w:t>
      </w:r>
      <w:r w:rsidRPr="00AA0F2C">
        <w:t>тестировани</w:t>
      </w:r>
      <w:r>
        <w:t>и</w:t>
      </w:r>
      <w:r w:rsidRPr="00BF00B8">
        <w:t xml:space="preserve"> </w:t>
      </w:r>
      <w:r w:rsidRPr="00BF00B8">
        <w:rPr>
          <w:noProof/>
        </w:rPr>
        <w:t>участвовало направление подготовки</w:t>
      </w:r>
      <w:r w:rsidRPr="00BF00B8">
        <w:t xml:space="preserve"> </w:t>
      </w:r>
      <w:r w:rsidRPr="00BF00B8">
        <w:rPr>
          <w:noProof/>
        </w:rPr>
        <w:t>18.03.01 (240100.62) «Химическая технология»</w:t>
      </w:r>
      <w:r w:rsidRPr="00BF00B8">
        <w:t>.</w:t>
      </w:r>
    </w:p>
    <w:p w:rsidR="00D825F7" w:rsidRPr="00BF00B8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Факультет непрерывного образования</w:t>
      </w:r>
      <w:r w:rsidRPr="00AA0F2C">
        <w:t xml:space="preserve"> (</w:t>
      </w:r>
      <w:r>
        <w:rPr>
          <w:noProof/>
        </w:rPr>
        <w:t>ФНО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82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125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125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8125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ФЭУ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BF00B8" w:rsidRDefault="00D825F7" w:rsidP="0037342B">
      <w:pPr>
        <w:ind w:firstLine="360"/>
        <w:jc w:val="both"/>
      </w:pPr>
      <w:r w:rsidRPr="00AA0F2C">
        <w:t>В</w:t>
      </w:r>
      <w:r w:rsidRPr="00BF00B8">
        <w:t xml:space="preserve"> </w:t>
      </w:r>
      <w:r w:rsidRPr="00AA0F2C">
        <w:t>тестировани</w:t>
      </w:r>
      <w:r>
        <w:t>и</w:t>
      </w:r>
      <w:r w:rsidRPr="00BF00B8">
        <w:t xml:space="preserve"> </w:t>
      </w:r>
      <w:r w:rsidRPr="00BF00B8">
        <w:rPr>
          <w:noProof/>
        </w:rPr>
        <w:t>участвовали следующие направления подготовки:</w:t>
      </w:r>
      <w:r w:rsidRPr="00BF00B8">
        <w:t xml:space="preserve"> </w:t>
      </w:r>
      <w:r w:rsidRPr="00BF00B8">
        <w:rPr>
          <w:noProof/>
        </w:rPr>
        <w:t>38.03.01 (080100.62) «Экономика», 38.03.03 (080400.62) «Управление персоналом»</w:t>
      </w:r>
      <w:r w:rsidRPr="00BF00B8">
        <w:t>.</w:t>
      </w:r>
    </w:p>
    <w:p w:rsidR="00D825F7" w:rsidRPr="00BF00B8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экономики и управления</w:t>
      </w:r>
      <w:r w:rsidRPr="00AA0F2C">
        <w:t xml:space="preserve"> (</w:t>
      </w:r>
      <w:r>
        <w:rPr>
          <w:noProof/>
        </w:rPr>
        <w:t>ФЭУ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5329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5329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5329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lastRenderedPageBreak/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МФ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Тождественные преобразования логарифмических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Показательные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Графики элементарных функций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Решение прямоугольных треугольников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Применение геометрических знаний для решения практических задач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Квадратные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Элементы комбинаторики, статистики и теории вероятностей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и корни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Задачи из практической деятельности и повседневной жизни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Уравнения с переменной под знаком модуля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Показательные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Геометрический смысл определенного интеграла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Применение геометрических знаний для решения практических задач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ФУА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lastRenderedPageBreak/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lastRenderedPageBreak/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Преобразования тригонометрических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Тождественные преобразования логарифмических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Задачи из практической деятельности и повседневной жизни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Показательные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Графики элементарных функций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Производная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Решение прямоугольных треугольников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Применение геометрических знаний для решения практических задач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Квадратные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lastRenderedPageBreak/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Производная функции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ФНО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Текстовая задача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Системы линейных уравнений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Элементы комбинаторики, статистики и теории вероятностей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Решение прямоугольных треугольников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Преобразования тригонометрических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Тождественные преобразования логарифмических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Уравнения с переменной под знаком модуля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Квадратные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Показательные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Графики элементарных функций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Производная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Геометрический смысл определенного интеграла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Применение геометрических знаний для решения практических задач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ФЭУ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38.03.01 (080100.62)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Экономика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_oop_3310,2329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8_oop_3310,2329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Преобразования тригонометрических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Показательные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Производная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Квадратные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Геометрический смысл определенного интеграла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Применение геометрических знаний для решения практических задач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38.03.03 (080400.62)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персоналом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_oop_3312,2331.png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lastRenderedPageBreak/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8_oop_3312,2331.png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Тождественные преобразования логарифмических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Текстовая задача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Уравнения с переменной под знаком модуля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Иррациональные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и корни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Тождественные преобразования алгебраических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Преобразования тригонометрических выражений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Логарифмические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Тригонометрические уравнения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Квадратные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Показательные неравенства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Область определения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Графики элементарных функций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Производная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Наименьшее и наибольшее значения функции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Геометрический смысл определенного интеграла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Применение геометрических знаний для решения практических задач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252A2A">
        <w:rPr>
          <w:lang w:val="en-US"/>
        </w:rPr>
        <w:t xml:space="preserve"> </w:t>
      </w:r>
      <w:r>
        <w:t>1</w:t>
      </w:r>
      <w:r w:rsidRPr="00252A2A">
        <w:rPr>
          <w:lang w:val="en-US"/>
        </w:rPr>
        <w:t xml:space="preserve">. </w:t>
      </w:r>
      <w:r w:rsidRPr="00AA0F2C">
        <w:t>Рейтинг</w:t>
      </w:r>
      <w:r w:rsidRPr="00252A2A">
        <w:rPr>
          <w:lang w:val="en-US"/>
        </w:rPr>
        <w:t>-</w:t>
      </w:r>
      <w:r w:rsidRPr="00AA0F2C">
        <w:t>листы</w:t>
      </w:r>
    </w:p>
    <w:p w:rsidR="00D825F7" w:rsidRPr="00252A2A" w:rsidRDefault="00D825F7" w:rsidP="00420DF0">
      <w:pPr>
        <w:jc w:val="center"/>
        <w:rPr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2603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Сафина А. А.</w:t>
            </w:r>
            <w:r>
              <w:rPr>
                <w:noProof/>
              </w:rPr>
              <w:tab/>
              <w:t>260308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Сафина Д. И.</w:t>
            </w:r>
            <w:r>
              <w:rPr>
                <w:noProof/>
              </w:rPr>
              <w:tab/>
              <w:t>260309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И. М.</w:t>
            </w:r>
            <w:r>
              <w:rPr>
                <w:noProof/>
              </w:rPr>
              <w:tab/>
              <w:t>260301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Якупова Л. И.</w:t>
            </w:r>
            <w:r>
              <w:rPr>
                <w:noProof/>
              </w:rPr>
              <w:tab/>
              <w:t>260315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Козлов В.А.</w:t>
            </w:r>
            <w:r>
              <w:rPr>
                <w:noProof/>
              </w:rPr>
              <w:tab/>
              <w:t>260304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Кирпичонок А. А.</w:t>
            </w:r>
            <w:r>
              <w:rPr>
                <w:noProof/>
              </w:rPr>
              <w:tab/>
              <w:t>260303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Бурганов Руслан Дамирович</w:t>
            </w:r>
            <w:r>
              <w:rPr>
                <w:noProof/>
              </w:rPr>
              <w:tab/>
              <w:t>160101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Маркелов Андрей Борисович</w:t>
            </w:r>
            <w:r>
              <w:rPr>
                <w:noProof/>
              </w:rPr>
              <w:tab/>
              <w:t>160108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Нишонова Элиана Элдоровна</w:t>
            </w:r>
            <w:r>
              <w:rPr>
                <w:noProof/>
              </w:rPr>
              <w:tab/>
              <w:t>160109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Добряков Глеб Алексеевич</w:t>
            </w:r>
            <w:r>
              <w:rPr>
                <w:noProof/>
              </w:rPr>
              <w:tab/>
              <w:t>160103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Гиниятуллин Раиль Камилович</w:t>
            </w:r>
            <w:r>
              <w:rPr>
                <w:noProof/>
              </w:rPr>
              <w:tab/>
              <w:t>160102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Каращук Данил Вячеславович</w:t>
            </w:r>
            <w:r>
              <w:rPr>
                <w:noProof/>
              </w:rPr>
              <w:tab/>
              <w:t>160105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Максимова Марина Алексеевна</w:t>
            </w:r>
            <w:r>
              <w:rPr>
                <w:noProof/>
              </w:rPr>
              <w:tab/>
              <w:t>160107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Тюняева Мария Павловна</w:t>
            </w:r>
            <w:r>
              <w:rPr>
                <w:noProof/>
              </w:rPr>
              <w:tab/>
              <w:t>160110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Иванцова Арина Васильевна</w:t>
            </w:r>
            <w:r>
              <w:rPr>
                <w:noProof/>
              </w:rPr>
              <w:tab/>
              <w:t>160104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12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lastRenderedPageBreak/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Екатерина Сергеевна</w:t>
            </w:r>
            <w:r>
              <w:rPr>
                <w:noProof/>
              </w:rPr>
              <w:tab/>
              <w:t>160106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Эльвина Викторовна</w:t>
            </w:r>
            <w:r>
              <w:rPr>
                <w:noProof/>
              </w:rPr>
              <w:tab/>
              <w:t>160204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90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Галактионова Анастасия Александровна</w:t>
            </w:r>
            <w:r>
              <w:rPr>
                <w:noProof/>
              </w:rPr>
              <w:tab/>
              <w:t>160202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Набиева Чулпан Ханафиевна</w:t>
            </w:r>
            <w:r>
              <w:rPr>
                <w:noProof/>
              </w:rPr>
              <w:tab/>
              <w:t>160205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Шакирова Алина Рустамовна</w:t>
            </w:r>
            <w:r>
              <w:rPr>
                <w:noProof/>
              </w:rPr>
              <w:tab/>
              <w:t>160210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Зуфарова Эльвина Флюсовна</w:t>
            </w:r>
            <w:r>
              <w:rPr>
                <w:noProof/>
              </w:rPr>
              <w:tab/>
              <w:t>160203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Седина Ксения Васильевна</w:t>
            </w:r>
            <w:r>
              <w:rPr>
                <w:noProof/>
              </w:rPr>
              <w:tab/>
              <w:t>160207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Гадельшин Марсель Камилевич</w:t>
            </w:r>
            <w:r>
              <w:rPr>
                <w:noProof/>
              </w:rPr>
              <w:tab/>
              <w:t>160201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Питимирова Влдада Николаевна</w:t>
            </w:r>
            <w:r>
              <w:rPr>
                <w:noProof/>
              </w:rPr>
              <w:tab/>
              <w:t>160206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Хабибрахманов Лемаз Раисович</w:t>
            </w:r>
            <w:r>
              <w:rPr>
                <w:noProof/>
              </w:rPr>
              <w:tab/>
              <w:t>160208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1604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Ахметова Чулпан Ильдаровна</w:t>
            </w:r>
            <w:r>
              <w:rPr>
                <w:noProof/>
              </w:rPr>
              <w:tab/>
              <w:t>160401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Сабирова Диля Рамилевна</w:t>
            </w:r>
            <w:r>
              <w:rPr>
                <w:noProof/>
              </w:rPr>
              <w:tab/>
              <w:t>160404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Кашаева Диана Влдаиславовна</w:t>
            </w:r>
            <w:r>
              <w:rPr>
                <w:noProof/>
              </w:rPr>
              <w:tab/>
              <w:t>160402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Кулакова Маргарита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90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Кузьмин Владимир Александрович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Першин Евгений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Миннебаев Инсаф Накипович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Ахмерова Аделя Марсовна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Галеев Эдуард Ильгизович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Каюмов Нафис Фанисович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Костина Ольга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Марина Владимировна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Сеничкин Егор Алексадрович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Абдуллов Айнур Альбертович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Власова Елена Александровна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Гараев Ильгиз Ильдарович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Малова Наталья Николаевна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Мальков Алексанр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Шавалиев Айназ Айнурович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Билалов Руслан Магесумович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Бабенцева Ольга Дмитриевна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Галиев Алмаз Радикович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Павлов Михаил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90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Хуснуллин Тимур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90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Габдрахманов Азат Рашидович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Емельянов Алексей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Кожевникова Ксения Андреевна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Султанова Регина Артуровна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Шумков Андрей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Булыгин Евгений Петрович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Гирфанов Рамис Раилевич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Сороколетова Валерия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Алексеев Артем Максимович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Калиничева Анастасия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Валиуллин Айрат Вазихович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Гарипов Ирек Алгизович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Юнусов Ильнур Илдарович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Сорокин Владислав Алексеевич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Поликанов Антон Андреевич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Миндубаев Инсаф Ильшатович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5608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Зотина Ирина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Андриенко Марина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Сайфутдинова Лейсан Габбасовна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Дюжина Ирина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Захарова Анастасия Викторовна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Одилова Диана Тоирджоновна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Алина Павловна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Нугуманова Эльвира Шакуровна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Хазипова Алия Маратовна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Вугар Халис Оглы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Проснева Евгения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Нухратов Алексей Димитриевич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Клюге Кирилл Валерьевич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Николаева Татьяна Михайловна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Диниев Айзат Маратович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Зиннатова Динара Рустемовна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Ильичев Александр Евгеньевич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Хайруллов Вагиз Илгизович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Рябов Алексей Николаевич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Салихов Динар Камилевич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 Марат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Шарипов Рустам Собиржонович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ФЭУ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38.03.01 (080100.62)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Экономика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4601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Баушева Екатерина Евгеньевна</w:t>
            </w:r>
            <w:r>
              <w:rPr>
                <w:noProof/>
              </w:rPr>
              <w:tab/>
              <w:t>4601-04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Багаутдинова Динара Фанисовна</w:t>
            </w:r>
            <w:r>
              <w:rPr>
                <w:noProof/>
              </w:rPr>
              <w:tab/>
              <w:t>4601-02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Баграмова Аделина Вадимовна</w:t>
            </w:r>
            <w:r>
              <w:rPr>
                <w:noProof/>
              </w:rPr>
              <w:tab/>
              <w:t>4601-03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Валеева Дарья Альбертовна</w:t>
            </w:r>
            <w:r>
              <w:rPr>
                <w:noProof/>
              </w:rPr>
              <w:tab/>
              <w:t>4601-05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Халиуллина Алина Фанисовна</w:t>
            </w:r>
            <w:r>
              <w:rPr>
                <w:noProof/>
              </w:rPr>
              <w:tab/>
              <w:t>4601-19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Гарифуллина Алина Илдаровна</w:t>
            </w:r>
            <w:r>
              <w:rPr>
                <w:noProof/>
              </w:rPr>
              <w:tab/>
              <w:t>4601-08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Петрова Камилла Эдуардовна</w:t>
            </w:r>
            <w:r>
              <w:rPr>
                <w:noProof/>
              </w:rPr>
              <w:tab/>
              <w:t>4601-13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Спирина Анна Дмитриевна</w:t>
            </w:r>
            <w:r>
              <w:rPr>
                <w:noProof/>
              </w:rPr>
              <w:tab/>
              <w:t>4601-17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Нуриева Лейсан Ульфатовна</w:t>
            </w:r>
            <w:r>
              <w:rPr>
                <w:noProof/>
              </w:rPr>
              <w:tab/>
              <w:t>4601-12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Семина Анастасия Александровна</w:t>
            </w:r>
            <w:r>
              <w:rPr>
                <w:noProof/>
              </w:rPr>
              <w:tab/>
              <w:t>4601-16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lastRenderedPageBreak/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Ахметзянова Диляра Райхатовна</w:t>
            </w:r>
            <w:r>
              <w:rPr>
                <w:noProof/>
              </w:rPr>
              <w:tab/>
              <w:t>4601-01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Ильдар Айратович</w:t>
            </w:r>
            <w:r>
              <w:rPr>
                <w:noProof/>
              </w:rPr>
              <w:tab/>
              <w:t>4601-09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Исаева Арина Игоревна</w:t>
            </w:r>
            <w:r>
              <w:rPr>
                <w:noProof/>
              </w:rPr>
              <w:tab/>
              <w:t>4601-11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Хазиева Диляра Альбертовна</w:t>
            </w:r>
            <w:r>
              <w:rPr>
                <w:noProof/>
              </w:rPr>
              <w:tab/>
              <w:t>4601-18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Сарвартдинов Булат Марсович</w:t>
            </w:r>
            <w:r>
              <w:rPr>
                <w:noProof/>
              </w:rPr>
              <w:tab/>
              <w:t>4601-15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Кристина Ильфатовна</w:t>
            </w:r>
            <w:r>
              <w:rPr>
                <w:noProof/>
              </w:rPr>
              <w:tab/>
              <w:t>4601-10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Сакаева Эльвира Ринатовна</w:t>
            </w:r>
            <w:r>
              <w:rPr>
                <w:noProof/>
              </w:rPr>
              <w:tab/>
              <w:t>4601-14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19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Галимова Лейсан Сагитовна</w:t>
            </w:r>
            <w:r>
              <w:rPr>
                <w:noProof/>
              </w:rPr>
              <w:tab/>
              <w:t>4601-07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38.03.03 (080400.62)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персоналом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4607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Муллаярова Аделя Дамировна</w:t>
            </w:r>
            <w:r>
              <w:rPr>
                <w:noProof/>
              </w:rPr>
              <w:tab/>
              <w:t>4607-03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Бакеева Адиля Ринатовна</w:t>
            </w:r>
            <w:r>
              <w:rPr>
                <w:noProof/>
              </w:rPr>
              <w:tab/>
              <w:t>4607-01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Клушева Эльмира Сагандыковна</w:t>
            </w:r>
            <w:r>
              <w:rPr>
                <w:noProof/>
              </w:rPr>
              <w:tab/>
              <w:t>4607-02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Чмыхова Ольга Григорьевна</w:t>
            </w:r>
            <w:r>
              <w:rPr>
                <w:noProof/>
              </w:rPr>
              <w:tab/>
              <w:t>4607-05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33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BF00B8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BF00B8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4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BF00B8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4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58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59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60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5DD" w:rsidRDefault="008535DD">
      <w:r>
        <w:separator/>
      </w:r>
    </w:p>
  </w:endnote>
  <w:endnote w:type="continuationSeparator" w:id="0">
    <w:p w:rsidR="008535DD" w:rsidRDefault="00853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312AE4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F00B8">
      <w:rPr>
        <w:rStyle w:val="ac"/>
        <w:noProof/>
      </w:rPr>
      <w:t>38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5DD" w:rsidRDefault="008535DD">
      <w:r>
        <w:separator/>
      </w:r>
    </w:p>
  </w:footnote>
  <w:footnote w:type="continuationSeparator" w:id="0">
    <w:p w:rsidR="008535DD" w:rsidRDefault="00853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2AE4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4E5F"/>
    <w:rsid w:val="006E5761"/>
    <w:rsid w:val="006E6BAE"/>
    <w:rsid w:val="006E705E"/>
    <w:rsid w:val="006E7FEE"/>
    <w:rsid w:val="006F3440"/>
    <w:rsid w:val="006F5068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42316"/>
    <w:rsid w:val="00844668"/>
    <w:rsid w:val="00845050"/>
    <w:rsid w:val="00845B2E"/>
    <w:rsid w:val="0084604B"/>
    <w:rsid w:val="00852CDE"/>
    <w:rsid w:val="008535DD"/>
    <w:rsid w:val="008539C4"/>
    <w:rsid w:val="00853D5A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7B57"/>
    <w:rsid w:val="009D0444"/>
    <w:rsid w:val="009D0CAE"/>
    <w:rsid w:val="009D1A8C"/>
    <w:rsid w:val="009D272D"/>
    <w:rsid w:val="009D39CC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00B8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hyperlink" Target="http://www.i-exam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8" Type="http://schemas.openxmlformats.org/officeDocument/2006/relationships/footer" Target="footer1.xml"/><Relationship Id="rId51" Type="http://schemas.openxmlformats.org/officeDocument/2006/relationships/image" Target="media/image42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hyperlink" Target="mailto:nii.mk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90F77-A2C2-4875-A5CC-7E70EE1C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4900</Words>
  <Characters>27936</Characters>
  <Application>Microsoft Office Word</Application>
  <DocSecurity>0</DocSecurity>
  <Lines>232</Lines>
  <Paragraphs>65</Paragraphs>
  <ScaleCrop>false</ScaleCrop>
  <Company>niimko</Company>
  <LinksUpToDate>false</LinksUpToDate>
  <CharactersWithSpaces>32771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2016-12-27T07:24:00Z</cp:lastPrinted>
  <dcterms:created xsi:type="dcterms:W3CDTF">2016-12-27T07:25:00Z</dcterms:created>
  <dcterms:modified xsi:type="dcterms:W3CDTF">2016-12-27T07:25:00Z</dcterms:modified>
</cp:coreProperties>
</file>