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A15C64" w:rsidRDefault="00A15C64" w:rsidP="00327FB6">
      <w:pPr>
        <w:jc w:val="center"/>
        <w:rPr>
          <w:sz w:val="28"/>
          <w:szCs w:val="28"/>
        </w:rPr>
        <w:sectPr w:rsidR="00D825F7" w:rsidRPr="00A15C64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4A76" w:rsidRPr="00FC4A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Биология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 w:rsidRPr="00A15C64">
        <w:rPr>
          <w:rFonts w:ascii="Arial" w:hAnsi="Arial" w:cs="Arial"/>
          <w:noProof/>
          <w:color w:val="281774"/>
          <w:sz w:val="36"/>
          <w:szCs w:val="36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A15C64" w:rsidRDefault="00D825F7" w:rsidP="00082455">
      <w:pPr>
        <w:jc w:val="center"/>
        <w:rPr>
          <w:b/>
          <w:bCs/>
          <w:sz w:val="28"/>
          <w:szCs w:val="28"/>
        </w:rPr>
        <w:sectPr w:rsidR="00D825F7" w:rsidRPr="00A15C64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A15C64" w:rsidRDefault="00D825F7" w:rsidP="00082455">
      <w:pPr>
        <w:jc w:val="center"/>
        <w:rPr>
          <w:b/>
          <w:bCs/>
          <w:sz w:val="28"/>
          <w:szCs w:val="28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Биология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FC4A76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Биология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Биология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Биология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Биология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Биология как наука. Основные уровни организации живой природы. </w:t>
            </w:r>
            <w:r>
              <w:rPr>
                <w:noProof/>
                <w:lang w:val="en-US"/>
              </w:rPr>
              <w:t>Биологические системы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предмет биологии, методы научного познания, признаки и уровни организации живой материи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Современная клеточная теория. Прокариотические и эукариотические клетки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основные положения клеточной теории, строение клеток прокариот и эукариот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Химический состав клетки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химическую организацию клетки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Строение клетки. Взаимосвязь строения и функций частей и органоидов клетки – основа ее целостности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и функции органоидов клетки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Обмен веществ и превращения энергии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сущность обмена веществ и превращения энергии в клетке и организме; пластического и энергетического обмена, питания, фотосинтеза, хемосинтеза, дыхания, брожения, выделения, транспорта веществ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уметь: </w:t>
            </w:r>
            <w:r w:rsidRPr="00A15C64">
              <w:t>устанавливать взаимосвязи строения и функций молекул, органоидов клетки; органов и систем органов; пластического и энергетического обмена; световых и темновых реакций фотосинтеза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Клетка – генетическая единица живого. Жизненный цикл клетки. </w:t>
            </w:r>
            <w:r>
              <w:rPr>
                <w:noProof/>
                <w:lang w:val="en-US"/>
              </w:rPr>
              <w:t>Фазы митоза и мейоза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генов, хромосом, гамет; сущность митоза, мейоза; развитие гамет у цветковых растений и позвоночных животных; сущность оплодотворения у цветковых растений и позвоночных животных; особенности развития и размножения у растений и животных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уметь: </w:t>
            </w:r>
            <w:r w:rsidRPr="00A15C64">
              <w:t>сравнивать (и делать выводы на основе сравнения) митоз и мейоз; бесполое и половое размножение; оплодотворение у растений и животных; внешнее и внутреннее оплодотворение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Закономерности наследственности, их цитологические основы (законы Г. Менделя: моно- и дигибридное скрещивание; законы Т. Моргана: сцепленное наследование признаков, нарушение сцепления генов)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сущность законов (Г. Менделя; сцепленного наследования Т. Моргана; гомологических рядов в наследственной изменчивости; зародышевого сходства; биогенетического); сущность закономерностей (изменчивости; сцепленного наследования; наследования, сцепленного с полом; взаимодействия генов и их цитологических основ); правила (доминирования Г. Менделя; экологической пирамиды)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 xml:space="preserve">Ненаследственная и наследственная изменчивость. Виды мутаций и их </w:t>
            </w:r>
            <w:r w:rsidRPr="00A15C64">
              <w:rPr>
                <w:noProof/>
              </w:rPr>
              <w:lastRenderedPageBreak/>
              <w:t>причины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lastRenderedPageBreak/>
              <w:t xml:space="preserve">знать: </w:t>
            </w:r>
            <w:r w:rsidRPr="00A15C64">
              <w:t>сущность закономерностей изменчивости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lastRenderedPageBreak/>
              <w:t xml:space="preserve">уметь: </w:t>
            </w:r>
            <w:r w:rsidRPr="00A15C64">
              <w:t>объяснять причины наследственных и ненаследственных изменений, наследственных заболеваний, генных и хромосомных мутаций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Селекция, ее задачи и практическое значение. </w:t>
            </w:r>
            <w:r>
              <w:rPr>
                <w:noProof/>
                <w:lang w:val="en-US"/>
              </w:rPr>
              <w:t>Биотехнология, ее направления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основные положения о путях и направлениях эволюции; учение Н. И. Вавилова о центрах многообразия и происхождения культурных растений; условия взаимодействия генов, получения гетерозиса, полиплоидов, отдаленных гибридов, действия искусственного отбора; современную биологическую терминологию и символику по селекции и биотехнологии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Разнообразие организмов: одноклеточные и многоклеточные; автотрофы, гетеротрофы. </w:t>
            </w:r>
            <w:r>
              <w:rPr>
                <w:noProof/>
                <w:lang w:val="en-US"/>
              </w:rPr>
              <w:t>Вирусы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вирусов, одноклеточных и многоклеточных организмов царств живой природы (растений, животных, грибов и бактерий), человека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Воспроизведение организмов. Способы размножения. Оплодотворение у цветковых растений и позвоночных животных. </w:t>
            </w:r>
            <w:r>
              <w:rPr>
                <w:noProof/>
                <w:lang w:val="en-US"/>
              </w:rPr>
              <w:t>Онтогенез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современную терминологию по онтогенезу, сущность процесса индивидуального развития организма (онтогенез)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Генетика, ее задачи. Значение генетики для медицины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основные генетические понятия, задачи генетики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Основные систематические категории. Царство бактерий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бактерий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уметь: </w:t>
            </w:r>
            <w:r w:rsidRPr="00A15C64">
              <w:t>сравнивать (и делать выводы на основе сравнения) биологические объекты (организмы растений, животных, грибов и бактерий); определять принадлежность биологических объектов к определенной систематической группе (классификация)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Царство грибов. Лишайники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грибов и лишайников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уметь: </w:t>
            </w:r>
            <w:r w:rsidRPr="00A15C64">
              <w:t>распознавать и описывать биологические объекты по их изображению; определять принадлежность биологических объектов к определенной систематической группе (классификация)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Строение (ткани, клетки, органы), жизнедеятельность и размножение покрытосеменных растений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строение, особенности жизнедеятельности и размножения цветковых растений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Основные отделы растений. Классы покрытосеменных растений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признаки отделов растений; особенности однодольных и двудольных растений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Одноклеточные и многоклеточные животные. Характеристика основных типов беспозвоночных, классов членистоногих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одноклеточных и многоклеточных животных; характеристику основных типов животных; характеристику классов членистоногих животных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Характеристика основных классов хордовых животных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основные классы и характеристики хордовых животных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Ткани. Строение и жизнедеятельность органов и систем органов: пищеварения, дыхания, выделения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особенности строения тканей, строения органов пищеварительной системы, органов дыхания и органов выделения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Строение и жизнедеятельность </w:t>
            </w:r>
            <w:r w:rsidRPr="00A15C64">
              <w:rPr>
                <w:noProof/>
              </w:rPr>
              <w:lastRenderedPageBreak/>
              <w:t xml:space="preserve">органов и систем органов: опорно-двигательной, покровной, кровообращения, лимфообращения. </w:t>
            </w:r>
            <w:r>
              <w:rPr>
                <w:noProof/>
                <w:lang w:val="en-US"/>
              </w:rPr>
              <w:t>Размножение и развитие человека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lastRenderedPageBreak/>
              <w:t xml:space="preserve">знать: </w:t>
            </w:r>
            <w:r w:rsidRPr="00A15C64">
              <w:t>строение и функции органов опорно-</w:t>
            </w:r>
            <w:r w:rsidRPr="00A15C64">
              <w:lastRenderedPageBreak/>
              <w:t>двигательной системы, органов кровообращения и лимфообращения; особенности размножения и развития человека</w:t>
            </w:r>
          </w:p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уметь: </w:t>
            </w:r>
            <w:r w:rsidRPr="00A15C64">
              <w:t>распознавать и описывать биологические объекты по их изображению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Внутренняя среда организма человека. Группы крови. </w:t>
            </w:r>
            <w:r>
              <w:rPr>
                <w:noProof/>
                <w:lang w:val="en-US"/>
              </w:rPr>
              <w:t>Иммунитет. Обмен веществ и превращение энергии в организме человека. Витамины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особенности внутренней среды человека; понятие «иммунитет»; процессы обмена веществ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Нервная и эндокринная системы. Нейрогуморальная регуляция. </w:t>
            </w:r>
            <w:r>
              <w:rPr>
                <w:noProof/>
                <w:lang w:val="en-US"/>
              </w:rPr>
              <w:t>Анализаторы. Высшая нервная деятельность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особенности нервной и эндокринной системы человека; нейрогуморальную регуляцию; особенности высшей нервной деятельности и поведения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Личная и общественная гигиена, здоровый образ жизни. </w:t>
            </w:r>
            <w:r>
              <w:rPr>
                <w:noProof/>
                <w:lang w:val="en-US"/>
              </w:rPr>
              <w:t>Факторы здоровья и риска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основы гигиены человека; факторы здоровья и риска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Вид, его критерии. Способы видообразования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строение и признаки вида, популяций; факторы видообразования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Развитие эволюционных идей. Доказательства и результаты эволюции живой природы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основные положения эволюционной теории; движущие силы эволюции, результаты эволюции; доказательства эволюции организмов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Макроэволюция. Биологический прогресс и регресс, ароморфоз, идиоадаптация, дегенерация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понятие «макроэволюция»; направления и пути эволюции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Происхождение человека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сущность гипотезы происхождения человека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Среды обитания организмов. Экологические факторы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классификацию экологических факторов; основные типы взаимоотношения организмов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3960" w:type="dxa"/>
          </w:tcPr>
          <w:p w:rsidR="00D825F7" w:rsidRPr="00A15C64" w:rsidRDefault="005B55AC" w:rsidP="008C64E5">
            <w:r w:rsidRPr="00A15C64">
              <w:rPr>
                <w:noProof/>
              </w:rPr>
              <w:t>Экосистема (биогеоценоз), ее компоненты. Разнообразие, устойчивость и динамика экосистем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компоненты экосистемы; разнообразие и развитие экосистем; особенности агроэкосистем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 w:rsidRPr="00A15C64">
              <w:rPr>
                <w:noProof/>
              </w:rPr>
              <w:t xml:space="preserve">Учение В. И. Вернадского о биосфере. </w:t>
            </w:r>
            <w:r>
              <w:rPr>
                <w:noProof/>
                <w:lang w:val="en-US"/>
              </w:rPr>
              <w:t>Глобальные изменения в биосфере</w:t>
            </w:r>
          </w:p>
        </w:tc>
        <w:tc>
          <w:tcPr>
            <w:tcW w:w="5220" w:type="dxa"/>
          </w:tcPr>
          <w:p w:rsidR="00D825F7" w:rsidRPr="00A15C64" w:rsidRDefault="005B55AC" w:rsidP="00BE035E">
            <w:r w:rsidRPr="00A15C64">
              <w:rPr>
                <w:b/>
                <w:bCs/>
                <w:i/>
                <w:iCs/>
              </w:rPr>
              <w:t xml:space="preserve">знать: </w:t>
            </w:r>
            <w:r w:rsidRPr="00A15C64">
              <w:t>понятие «биосфера»; особенности круговорота веществ в биосфере; глобальные изменения в биосфере</w:t>
            </w:r>
          </w:p>
        </w:tc>
      </w:tr>
    </w:tbl>
    <w:p w:rsidR="00D825F7" w:rsidRPr="00A15C64" w:rsidRDefault="00D825F7" w:rsidP="005E28C0">
      <w:pPr>
        <w:rPr>
          <w:sz w:val="4"/>
          <w:szCs w:val="4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Биология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A15C64" w:rsidRDefault="00D825F7" w:rsidP="0037342B">
      <w:pPr>
        <w:ind w:firstLine="360"/>
        <w:jc w:val="both"/>
      </w:pPr>
      <w:r w:rsidRPr="00AA0F2C">
        <w:t>В</w:t>
      </w:r>
      <w:r w:rsidRPr="00A15C64">
        <w:t xml:space="preserve"> </w:t>
      </w:r>
      <w:r w:rsidRPr="00AA0F2C">
        <w:t>тестировани</w:t>
      </w:r>
      <w:r>
        <w:t>и</w:t>
      </w:r>
      <w:r w:rsidRPr="00A15C64">
        <w:t xml:space="preserve"> </w:t>
      </w:r>
      <w:r w:rsidRPr="00A15C64">
        <w:rPr>
          <w:noProof/>
        </w:rPr>
        <w:t>участвовало направление подготовки</w:t>
      </w:r>
      <w:r w:rsidRPr="00A15C64">
        <w:t xml:space="preserve"> </w:t>
      </w:r>
      <w:r w:rsidRPr="00A15C64">
        <w:rPr>
          <w:noProof/>
        </w:rPr>
        <w:t>19.03.02 (260100.62) «Продукты питания из растительного сырья»</w:t>
      </w:r>
      <w:r w:rsidRPr="00A15C64">
        <w:t>.</w:t>
      </w:r>
    </w:p>
    <w:p w:rsidR="00D825F7" w:rsidRPr="00A15C64" w:rsidRDefault="00D825F7" w:rsidP="004A2DAB">
      <w:pPr>
        <w:keepLines/>
        <w:jc w:val="center"/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7079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7079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Закономерности наследственности, их цитологические основы (законы Г. Менделя: моно- и дигибридное скрещивание; законы Т. Моргана: сцепленное наследование признаков, нарушение сцепления генов)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Ненаследственная и наследственная изменчивость. Виды мутаций и их причины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Воспроизведение организмов. Способы размножения. Оплодотворение у цветковых растений и позвоночных животных. Онтогенез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Вид, его критерии. Способы видообразования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Макроэволюция. Биологический прогресс и регресс, ароморфоз, идиоадаптация, дегенерация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Учение В. И. Вернадского о биосфере. Глобальные изменения в биосфере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Селекция, ее задачи и практическое значение. Биотехнология, ее направления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Основные отделы растений. Классы покрытосеменных растений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Характеристика основных классов хордовых животных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Развитие эволюционных идей. Доказательства и результаты эволюции живой природы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Экосистема (биогеоценоз), ее компоненты. Разнообразие, устойчивость и динамика экосистем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252A2A">
        <w:rPr>
          <w:lang w:val="en-US"/>
        </w:rPr>
        <w:t xml:space="preserve"> </w:t>
      </w:r>
      <w:r>
        <w:t>1</w:t>
      </w:r>
      <w:r w:rsidRPr="00252A2A">
        <w:rPr>
          <w:lang w:val="en-US"/>
        </w:rPr>
        <w:t xml:space="preserve">. </w:t>
      </w:r>
      <w:r w:rsidRPr="00AA0F2C">
        <w:t>Рейтинг</w:t>
      </w:r>
      <w:r w:rsidRPr="00252A2A">
        <w:rPr>
          <w:lang w:val="en-US"/>
        </w:rPr>
        <w:t>-</w:t>
      </w:r>
      <w:r w:rsidRPr="00AA0F2C">
        <w:t>листы</w:t>
      </w:r>
    </w:p>
    <w:p w:rsidR="00D825F7" w:rsidRPr="00252A2A" w:rsidRDefault="00D825F7" w:rsidP="00420DF0">
      <w:pPr>
        <w:jc w:val="center"/>
        <w:rPr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Никишин Никита Дмитриевич</w:t>
            </w:r>
            <w:r>
              <w:rPr>
                <w:noProof/>
              </w:rPr>
              <w:tab/>
              <w:t>160403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30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66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A15C64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A15C64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A15C64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21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22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23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1DD" w:rsidRDefault="006E61DD">
      <w:r>
        <w:separator/>
      </w:r>
    </w:p>
  </w:endnote>
  <w:endnote w:type="continuationSeparator" w:id="0">
    <w:p w:rsidR="006E61DD" w:rsidRDefault="006E6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FC4A76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15C64">
      <w:rPr>
        <w:rStyle w:val="ac"/>
        <w:noProof/>
      </w:rPr>
      <w:t>15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1DD" w:rsidRDefault="006E61DD">
      <w:r>
        <w:separator/>
      </w:r>
    </w:p>
  </w:footnote>
  <w:footnote w:type="continuationSeparator" w:id="0">
    <w:p w:rsidR="006E61DD" w:rsidRDefault="006E61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1DD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9C4"/>
    <w:rsid w:val="00853D5A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C64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4A76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://www.i-exam.ru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hyperlink" Target="mailto:nii.mk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3DC7B-86C6-48A1-B760-22F61FA2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2593</Words>
  <Characters>14786</Characters>
  <Application>Microsoft Office Word</Application>
  <DocSecurity>0</DocSecurity>
  <Lines>123</Lines>
  <Paragraphs>34</Paragraphs>
  <ScaleCrop>false</ScaleCrop>
  <Company>niimko</Company>
  <LinksUpToDate>false</LinksUpToDate>
  <CharactersWithSpaces>17345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2016-12-27T07:35:00Z</cp:lastPrinted>
  <dcterms:created xsi:type="dcterms:W3CDTF">2016-12-27T07:36:00Z</dcterms:created>
  <dcterms:modified xsi:type="dcterms:W3CDTF">2016-12-27T07:36:00Z</dcterms:modified>
</cp:coreProperties>
</file>