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B4" w:rsidRPr="00DC697D" w:rsidRDefault="00CD1AB4" w:rsidP="00343EFF">
      <w:pPr>
        <w:pStyle w:val="4"/>
        <w:spacing w:line="240" w:lineRule="auto"/>
        <w:ind w:firstLine="0"/>
        <w:jc w:val="center"/>
        <w:rPr>
          <w:rFonts w:ascii="Times New Roman" w:hAnsi="Times New Roman"/>
          <w:sz w:val="26"/>
        </w:rPr>
      </w:pPr>
      <w:r w:rsidRPr="00DC697D">
        <w:rPr>
          <w:rFonts w:ascii="Times New Roman" w:hAnsi="Times New Roman"/>
          <w:sz w:val="26"/>
        </w:rPr>
        <w:t>АННОТАЦИЯ РАБОЧЕЙ  ПРОГРАММЫ</w:t>
      </w:r>
    </w:p>
    <w:p w:rsidR="00CD1AB4" w:rsidRPr="00DC697D" w:rsidRDefault="00CD1AB4" w:rsidP="00CD1A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1AB4" w:rsidRPr="00DC697D" w:rsidRDefault="00CD1AB4" w:rsidP="00CD1AB4">
      <w:pPr>
        <w:spacing w:after="120" w:line="240" w:lineRule="auto"/>
        <w:ind w:left="3261" w:hanging="3261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Дисциплина</w:t>
      </w:r>
      <w:r w:rsidR="00F562E1">
        <w:rPr>
          <w:rFonts w:ascii="Times New Roman" w:eastAsia="Times New Roman" w:hAnsi="Times New Roman"/>
          <w:sz w:val="26"/>
          <w:szCs w:val="24"/>
          <w:lang w:eastAsia="ru-RU"/>
        </w:rPr>
        <w:t xml:space="preserve"> </w:t>
      </w:r>
      <w:r w:rsidR="00FD49D5">
        <w:rPr>
          <w:rFonts w:ascii="Times New Roman" w:eastAsia="Times New Roman" w:hAnsi="Times New Roman"/>
          <w:sz w:val="26"/>
          <w:szCs w:val="24"/>
          <w:lang w:eastAsia="ru-RU"/>
        </w:rPr>
        <w:t xml:space="preserve">                               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Б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3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.Б.</w:t>
      </w:r>
      <w:r w:rsidR="00306B0F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3</w:t>
      </w:r>
      <w:bookmarkStart w:id="0" w:name="_GoBack"/>
      <w:bookmarkEnd w:id="0"/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 «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Электротехника и </w:t>
      </w:r>
      <w:r w:rsidR="00343EFF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промышленная 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электроника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»</w:t>
      </w:r>
    </w:p>
    <w:p w:rsidR="00CD1AB4" w:rsidRPr="000E7162" w:rsidRDefault="00CD1AB4" w:rsidP="00CD1AB4">
      <w:pPr>
        <w:spacing w:after="0" w:line="240" w:lineRule="auto"/>
        <w:ind w:left="2832" w:hanging="2832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6"/>
          <w:szCs w:val="24"/>
          <w:lang w:eastAsia="ru-RU"/>
        </w:rPr>
        <w:t>Направление подготовки</w:t>
      </w:r>
      <w:r w:rsidR="00F562E1">
        <w:rPr>
          <w:rFonts w:ascii="Times New Roman" w:eastAsia="Times New Roman" w:hAnsi="Times New Roman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240100.62</w:t>
      </w:r>
      <w:r w:rsidR="00FD49D5" w:rsidRPr="00FD49D5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(18.03.01)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 xml:space="preserve"> 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Химическая технология»</w:t>
      </w:r>
    </w:p>
    <w:p w:rsidR="00CD1AB4" w:rsidRPr="00DC697D" w:rsidRDefault="00CD1AB4" w:rsidP="00CD1AB4">
      <w:pPr>
        <w:spacing w:after="0" w:line="240" w:lineRule="auto"/>
        <w:ind w:firstLine="3686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>(шифр)</w:t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</w:r>
      <w:r w:rsidRPr="00DC697D">
        <w:rPr>
          <w:rFonts w:ascii="Times New Roman" w:eastAsia="Times New Roman" w:hAnsi="Times New Roman"/>
          <w:sz w:val="18"/>
          <w:szCs w:val="18"/>
          <w:lang w:eastAsia="ru-RU"/>
        </w:rPr>
        <w:tab/>
        <w:t>(наименование)</w:t>
      </w:r>
    </w:p>
    <w:p w:rsidR="00CD1AB4" w:rsidRPr="00DC697D" w:rsidRDefault="00CD1AB4" w:rsidP="00CD1AB4">
      <w:pPr>
        <w:spacing w:after="0" w:line="240" w:lineRule="auto"/>
        <w:ind w:left="2832" w:hanging="2832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Программа подготовки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Технология и переработка полимеров</w:t>
      </w:r>
    </w:p>
    <w:p w:rsidR="00CD1AB4" w:rsidRPr="00DC697D" w:rsidRDefault="00CD1AB4" w:rsidP="00CD1A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>Квалификация (степень) выпускника</w:t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ab/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БАКАЛАВР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ab/>
      </w:r>
      <w:r w:rsidR="00FD49D5">
        <w:rPr>
          <w:rFonts w:ascii="Times New Roman" w:eastAsia="Times New Roman" w:hAnsi="Times New Roman"/>
          <w:i/>
          <w:sz w:val="26"/>
          <w:szCs w:val="24"/>
          <w:u w:val="single"/>
          <w:lang w:eastAsia="ru-RU"/>
        </w:rPr>
        <w:t xml:space="preserve"> </w:t>
      </w:r>
    </w:p>
    <w:p w:rsidR="00CD1AB4" w:rsidRPr="00DC697D" w:rsidRDefault="00CD1AB4" w:rsidP="00FD49D5">
      <w:pPr>
        <w:spacing w:after="0" w:line="240" w:lineRule="auto"/>
        <w:rPr>
          <w:rFonts w:ascii="Times New Roman" w:eastAsia="Times New Roman" w:hAnsi="Times New Roman"/>
          <w:sz w:val="26"/>
          <w:szCs w:val="24"/>
          <w:u w:val="single"/>
          <w:lang w:eastAsia="ru-RU"/>
        </w:rPr>
      </w:pPr>
      <w:r w:rsidRPr="00DC697D">
        <w:rPr>
          <w:rFonts w:ascii="Times New Roman" w:eastAsia="Times New Roman" w:hAnsi="Times New Roman"/>
          <w:sz w:val="26"/>
          <w:szCs w:val="24"/>
          <w:lang w:eastAsia="ru-RU"/>
        </w:rPr>
        <w:t xml:space="preserve">Кафедра-разработчик рабочей программы: </w:t>
      </w:r>
      <w:r w:rsidR="00FD49D5">
        <w:rPr>
          <w:rFonts w:ascii="Times New Roman" w:eastAsia="Times New Roman" w:hAnsi="Times New Roman"/>
          <w:sz w:val="26"/>
          <w:szCs w:val="24"/>
          <w:lang w:eastAsia="ru-RU"/>
        </w:rPr>
        <w:t xml:space="preserve">  </w:t>
      </w:r>
      <w:r w:rsidRPr="00DC697D">
        <w:rPr>
          <w:rFonts w:ascii="Times New Roman" w:eastAsia="Times New Roman" w:hAnsi="Times New Roman"/>
          <w:sz w:val="26"/>
          <w:szCs w:val="24"/>
          <w:u w:val="single"/>
          <w:lang w:eastAsia="ru-RU"/>
        </w:rPr>
        <w:t>кафедра электротехники и энергообеспечения предприятий</w:t>
      </w:r>
    </w:p>
    <w:p w:rsidR="00CD1AB4" w:rsidRPr="00DC697D" w:rsidRDefault="00CD1AB4" w:rsidP="00CD1AB4">
      <w:pPr>
        <w:spacing w:after="0" w:line="240" w:lineRule="auto"/>
        <w:ind w:left="2552" w:hanging="2552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 xml:space="preserve">1. Цели освоения дисциплины </w:t>
      </w:r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Целями освоения дисциплины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Электротехника и  промышленная электроника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являются </w:t>
      </w:r>
    </w:p>
    <w:p w:rsidR="00B27AC5" w:rsidRDefault="00B27AC5" w:rsidP="00B27A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а) формирование    личности    студентов,  развитие    их    интеллекта    и  </w:t>
      </w:r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способностей  к  логическому  и  алгоритмическому  мышлению; </w:t>
      </w:r>
    </w:p>
    <w:p w:rsidR="00B27AC5" w:rsidRDefault="00B27AC5" w:rsidP="00B27A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б) формирование  у  студентов  теоретических  и  практических  знаний 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</w:t>
      </w:r>
      <w:proofErr w:type="gramEnd"/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электротехнике и промышленной электроники; </w:t>
      </w:r>
    </w:p>
    <w:p w:rsidR="00B27AC5" w:rsidRDefault="00B27AC5" w:rsidP="00B27A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в) привитие навыков самостоятельного измерения электрических параметров </w:t>
      </w:r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 характеристик; </w:t>
      </w:r>
    </w:p>
    <w:p w:rsidR="00B27AC5" w:rsidRDefault="00B27AC5" w:rsidP="00B27AC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г) развитие  у  студентов  профессионально  личностно  значимых  качеств </w:t>
      </w:r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(ответственность,  сосредоточенность,  самоконтроль,  взаимоконтроль, </w:t>
      </w:r>
      <w:proofErr w:type="gramEnd"/>
    </w:p>
    <w:p w:rsidR="00B27AC5" w:rsidRDefault="00B27AC5" w:rsidP="00B27A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взаимопомощь, уверенность в себе.</w:t>
      </w:r>
    </w:p>
    <w:p w:rsidR="00B27AC5" w:rsidRDefault="00B27AC5" w:rsidP="00B27AC5">
      <w:pPr>
        <w:autoSpaceDE w:val="0"/>
        <w:autoSpaceDN w:val="0"/>
        <w:spacing w:after="0" w:line="360" w:lineRule="auto"/>
        <w:ind w:left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2. Содержание дисциплины «Электротехника и промышленная электроника»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Электрические цепи.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Анализ  и  расчет  линейных цепей переменного тока.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Анализ  и  расчет электрических  цепей  с нелинейными элементами.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Анализ  и  расчет  магнитных цепей.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Электромагнитные устройства  и  электрические машины.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Основы  промышленной электроники.</w:t>
      </w:r>
    </w:p>
    <w:p w:rsidR="00B27AC5" w:rsidRDefault="00B27AC5" w:rsidP="00B27AC5">
      <w:pPr>
        <w:autoSpaceDE w:val="0"/>
        <w:autoSpaceDN w:val="0"/>
        <w:spacing w:after="0"/>
        <w:ind w:left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Микропроцессорные средства,  электрические измерения и приборы.</w:t>
      </w: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ab/>
      </w:r>
      <w:proofErr w:type="gramStart"/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 xml:space="preserve">Компетенции обучающегося, формируемые в результате освоения дисциплины.  </w:t>
      </w:r>
      <w:proofErr w:type="gramEnd"/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ru-RU"/>
        </w:rPr>
        <w:t>Общекультурные компетенции:</w:t>
      </w:r>
    </w:p>
    <w:p w:rsidR="00B27AC5" w:rsidRDefault="00B27AC5" w:rsidP="00B27AC5">
      <w:pPr>
        <w:spacing w:after="0" w:line="360" w:lineRule="auto"/>
        <w:ind w:firstLine="360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ab/>
        <w:t>(ОК-1) – способностью к обобщению, анализ</w:t>
      </w:r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у, восприятию информации, поста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новке цели и выбору путей ее достижения;</w:t>
      </w:r>
    </w:p>
    <w:p w:rsidR="00B27AC5" w:rsidRDefault="00B27AC5" w:rsidP="00B27AC5">
      <w:pPr>
        <w:spacing w:after="0" w:line="360" w:lineRule="auto"/>
        <w:ind w:firstLine="360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ab/>
        <w:t>(ОК-2) –умением логически верно, аргументировано и ясно строить устную и пи</w:t>
      </w:r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сьменную речь; </w:t>
      </w:r>
      <w:proofErr w:type="gramStart"/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способен</w:t>
      </w:r>
      <w:proofErr w:type="gramEnd"/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к письменной и у устной речи правильно (логически) оформлять результата мышления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;</w:t>
      </w:r>
    </w:p>
    <w:p w:rsidR="00B27AC5" w:rsidRDefault="00B27AC5" w:rsidP="00B27AC5">
      <w:pPr>
        <w:spacing w:after="0" w:line="360" w:lineRule="auto"/>
        <w:ind w:firstLine="360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ab/>
        <w:t>(ОК-4) –находить организацио</w:t>
      </w:r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нно-управленческие решения в не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стандартных </w:t>
      </w:r>
      <w:r w:rsidR="00F562E1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ситуациях и готов нести за них ответственность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;</w:t>
      </w: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Профессиональные компетенции:</w:t>
      </w: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>Общепрофессиональные:</w:t>
      </w:r>
    </w:p>
    <w:p w:rsidR="00B27AC5" w:rsidRDefault="00B27AC5" w:rsidP="00B27AC5">
      <w:pPr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(ПК-5) – основными методами, способами и средствами получения, хранения, переработки информации, иметь навыки работы с компьютером как средством управления информацией;</w:t>
      </w:r>
    </w:p>
    <w:p w:rsidR="00B27AC5" w:rsidRDefault="00B27AC5" w:rsidP="00B27AC5">
      <w:pPr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(ПК-13) – налаживать, настраивать и осуществлять проверку оборудования и программных средств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;</w:t>
      </w:r>
      <w:proofErr w:type="gramEnd"/>
    </w:p>
    <w:p w:rsidR="00B27AC5" w:rsidRDefault="00B27AC5" w:rsidP="00B27AC5">
      <w:pPr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(ПК-14) – проверять техническое состояние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организовывать профилактические осмотры  и текущий ремонт оборудования; </w:t>
      </w:r>
    </w:p>
    <w:p w:rsidR="00B27AC5" w:rsidRDefault="00B27AC5" w:rsidP="00B27AC5">
      <w:pPr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(ПК-25) – изучать научно-техническую информацию, отечественный и зарубежный опыт по тематике исследования;</w:t>
      </w: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27AC5" w:rsidRDefault="00B27AC5" w:rsidP="00B27AC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4. В результате освоения дисциплины </w:t>
      </w:r>
      <w:proofErr w:type="gramStart"/>
      <w:r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должен: </w:t>
      </w:r>
    </w:p>
    <w:p w:rsidR="00B27AC5" w:rsidRDefault="00B27AC5" w:rsidP="00B27AC5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знать:</w:t>
      </w:r>
      <w:r w:rsidR="00F562E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основные  понятия  и  законы  электрических и магнитных цепей; методы анализа цепей постоянного и переменного токов; принципы работы электромагнитных устройств,</w:t>
      </w:r>
      <w:r w:rsidR="00F562E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трансформаторов, электрических машин, источников вторичного питания;</w:t>
      </w:r>
    </w:p>
    <w:p w:rsidR="00B27AC5" w:rsidRDefault="00B27AC5" w:rsidP="00B27A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уметь</w:t>
      </w:r>
      <w:r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>:</w:t>
      </w:r>
      <w:r w:rsidR="00F562E1">
        <w:rPr>
          <w:rFonts w:ascii="Times New Roman" w:eastAsia="Times New Roman" w:hAnsi="Times New Roman"/>
          <w:b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выбирать необходимые электрические устройства и машины применительно к конкретной задаче; проводить электрические измерения;</w:t>
      </w:r>
    </w:p>
    <w:p w:rsidR="00B27AC5" w:rsidRDefault="00B27AC5" w:rsidP="00B27AC5">
      <w:pPr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владеть:</w:t>
      </w:r>
      <w:r w:rsidR="00F562E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методами расчета электрических цепей; методами проведения электрических измерений.</w:t>
      </w:r>
    </w:p>
    <w:p w:rsidR="00B27AC5" w:rsidRDefault="00B27AC5" w:rsidP="00B27AC5"/>
    <w:p w:rsidR="00CD1AB4" w:rsidRDefault="00CD1AB4" w:rsidP="00CD1AB4"/>
    <w:p w:rsidR="00430D18" w:rsidRDefault="00430D18"/>
    <w:sectPr w:rsidR="00430D18" w:rsidSect="00FD49D5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1AB4"/>
    <w:rsid w:val="000B4638"/>
    <w:rsid w:val="00306B0F"/>
    <w:rsid w:val="00343EFF"/>
    <w:rsid w:val="00430D18"/>
    <w:rsid w:val="00486EAA"/>
    <w:rsid w:val="007215D5"/>
    <w:rsid w:val="00946B26"/>
    <w:rsid w:val="00A333B3"/>
    <w:rsid w:val="00B27AC5"/>
    <w:rsid w:val="00CD1AB4"/>
    <w:rsid w:val="00D24424"/>
    <w:rsid w:val="00D35CC6"/>
    <w:rsid w:val="00F562E1"/>
    <w:rsid w:val="00FD4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B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CD1AB4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1AB4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6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2014-10-31T11:13:00Z</dcterms:created>
  <dcterms:modified xsi:type="dcterms:W3CDTF">2014-11-26T07:40:00Z</dcterms:modified>
</cp:coreProperties>
</file>